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NW_32564 (Nordrhein-Westfalen) — Partizipation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Bildungs- und Erziehungsarbeit wirkt darauf hin, Kinder zur gleichberechtigten gesellschaftlichen Teilhabe zu befähigen und damit ein demokratisches Grundverständnis zu entwickeln. Daher sollen Kinder ihrem Alter, ihrem Entwicklungsstand und ihren Bedürfnissen entsprechend bei der Gestaltung des Alltags in der Kindertageseinrichtung oder in der Kindertagespflege mitwirken. Sie sind vom pädagogischen Personal bei allen sie betreffenden Angelegenheiten alters- und entwicklungsgerecht zu beteiligen.</w:t>
      </w:r>
    </w:p>
    <w:p>
      <w:r>
        <w:t xml:space="preserve">(2) Zum Wohl der Kinder und zur Sicherung ihrer Rechte sind in Kindertageseinrichtungen geeignete Verfahren der Beteiligung und Mitbestimmung sowie die Möglichkeit der Beschwerde in persönlichen Angelegenheiten vorzusehen und zu praktizieren.</w:t>
      </w:r>
    </w:p>
    <w:p>
      <w:r>
        <w:rPr>
          <w:color w:val="555555"/>
          <w:sz w:val="17"/>
        </w:rPr>
        <w:t xml:space="preserve">Zitiervorschlag: § 16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