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NW_32564 (Nordrhein-Westfalen) — Gesundheitsvorsorge</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Aufnahme in die Tageseinrichtung ist der Nachweis über eine altersentsprechend durchgeführte Gesundheitsuntersuchung des Kindes nach § 26 des Fünften Buches Sozialgesetzbuch – Gesetzliche Krankenversicherung – (Artikel 1 des Gesetzes vom 20. Dezember 1988, BGBl. I S. 2477, 2482) in der jeweils geltenden Fassung durch Vorlage des Kinderuntersuchungsheftes oder einer entsprechenden ärztlichen Bescheinigung zu erbringen.</w:t>
      </w:r>
    </w:p>
    <w:p>
      <w:r>
        <w:t xml:space="preserve">(2) In den Kindertageseinrichtungen und in der Kindertagespflege ist die gesundheitliche Entwicklung der Kinder auch durch altersangemessene präventive Maßnahmen sowie durch eine ausgewogene und gesunde Gestaltung der angebotenen Verpflegung zu fördern. Bei Vorliegen gewichtiger Anhaltspunkte für eine Beeinträchtigung sind die Eltern frühzeitig zu informieren und geeignete Hilfen zu vermitteln, bei fortbestehender Gefährdung ist das Jugendamt entsprechend § 8a des Achten Buches Sozialgesetzbuch zu informieren.</w:t>
      </w:r>
    </w:p>
    <w:p>
      <w:r>
        <w:t xml:space="preserve">(3) Das Jugendamt arbeitet mit den für die Durchführung ärztlicher und zahnärztlicher Vorsorgeuntersuchungen zuständigen Stellen zusammen und hat für jährliche ärztliche und zahnärztliche Untersuchungen der Kinder in den Tageseinrichtungen Sorge zu tragen. Diese können nur entfallen, wenn sichergestellt ist, dass diese jährlichen Untersuchungen für jedes Kind anderweitig erfolgen.</w:t>
      </w:r>
    </w:p>
    <w:p>
      <w:r>
        <w:t xml:space="preserve">(4) In Kindertageseinrichtungen und in Räumen, die für die Betreuung von Kindern in Kindertagespflege bestimmt sind, ist das Rauchen nicht gestattet.</w:t>
      </w:r>
    </w:p>
    <w:p>
      <w:r>
        <w:rPr>
          <w:color w:val="555555"/>
          <w:sz w:val="17"/>
        </w:rPr>
        <w:t xml:space="preserve">Zitiervorschlag: § 12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