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NW_32503 (Nordrhein-Westfalen) — Dokumente mit elektronischem Speicher- und Verarbeitungsmedium</w:t>
      </w:r>
    </w:p>
    <w:p>
      <w:r>
        <w:rPr>
          <w:color w:val="555555"/>
          <w:sz w:val="18"/>
        </w:rPr>
        <w:t xml:space="preserve">ZustAVO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Behörden im Sinne des § 78 Absatz 7 Satz 2 des Aufenthaltsgesetzes zur Änderung der im elektronischen Speicher- und Verarbeitungsmedium eines Dokumentes nach § 78 des Aufenthaltsgesetzes gespeicherten Anschrift und der auf das Dokument aufzubringenden Anschrift sind neben den Ausländerbehörden die örtlichen Ordnungsbehörden der kreisangehörigen Gemeinden, soweit sich die Gemeinden durch schriftliche Vereinbarung mit dem Kreis verpflichten, diese Aufgabe zu erfüllen. In der Vereinbarung sind insbesondere die Dauer der Aufgabenwahrnehmung und das Inkrafttreten zu regeln sowie Vorgaben darüber zu treffen, unter welchen Voraussetzungen und in welcher Form die Vereinbarung von einem der Beteiligten gekündigt werden kann. Eine Vereinbarung ist der zuständigen Bezirksregierung anzuzeigen und in den amtlichen Veröffentlichungsblättern der Beteiligten bekannt zu machen. Die Bekanntmachung darf frühestens einen Monat nach der Anzeige bei der Bezirksregierung erfolgen.</w:t>
      </w:r>
    </w:p>
    <w:p>
      <w:r>
        <w:t xml:space="preserve">Abschnitt 6</w:t>
      </w:r>
    </w:p>
    <w:p>
      <w:r>
        <w:t xml:space="preserve">Schlussvorschriften</w:t>
      </w:r>
    </w:p>
    <w:p>
      <w:r>
        <w:rPr>
          <w:color w:val="555555"/>
          <w:sz w:val="17"/>
        </w:rPr>
        <w:t xml:space="preserve">Zitiervorschlag: § 19 NW_32503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https://recht.nulegal.eu/gesetze/NW_32503/19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