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NW_32503 (Nordrhein-Westfalen) — Zuständigkeiten für Ordnungswidrigkeiten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Zuständigkeiten für die Verfolgung und Ahndung von Ordnungswidrigkeiten nach § 98 Absatz 1, Absatz 2 Nummer 1, 3 und 4, Absatz 3 Nummer 2, 4, 5, 6 und 7 des Aufenthaltsgesetzes und des § 10 Absatz 2 des Freizügigkeitsgesetzes/EU vom 30. Juli 2004 (BGBl. I S. 1950, 1986), das zuletzt durch Artikel 6 des Gesetzes vom 20. Juli 2017 (BGBl. I S. 2780) geändert worden ist und des § 86 des Asylgesetzes werden den unteren Ausländerbehörden übertragen.</w:t>
      </w:r>
    </w:p>
    <w:p>
      <w:r>
        <w:t xml:space="preserve">Abschnitt 5</w:t>
      </w:r>
    </w:p>
    <w:p>
      <w:r>
        <w:t xml:space="preserve">Aufsicht und sonstige Zuständigkeiten</w:t>
      </w:r>
    </w:p>
    <w:p>
      <w:r>
        <w:rPr>
          <w:color w:val="555555"/>
          <w:sz w:val="17"/>
        </w:rPr>
        <w:t xml:space="preserve">Zitiervorschlag: § 17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