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15a NW_32503 (Nordrhein-Westfalen) — Sonderzuständigkeit der Zentralen Ausländerbehörde Essen</w:t>
      </w:r>
    </w:p>
    <w:p>
      <w:r>
        <w:rPr>
          <w:color w:val="555555"/>
          <w:sz w:val="18"/>
        </w:rPr>
        <w:t xml:space="preserve">ZustAVO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Zentrale Ausländerbehörde Essen ist zuständig für</w:t>
      </w:r>
    </w:p>
    <w:p>
      <w:r>
        <w:t xml:space="preserve">1. Ausweisungen nach § 53 des Aufenthaltsgesetzes, wenn</w:t>
      </w:r>
    </w:p>
    <w:p>
      <w:r>
        <w:t xml:space="preserve">a) ein Ausweisungsinteresse besteht, das nach § 54 Absatz 1 Nummer 2 oder 3 bis 5 des Aufenthaltsgesetzes besonders schwer wiegt oder</w:t>
      </w:r>
    </w:p>
    <w:p>
      <w:r>
        <w:t xml:space="preserve">b) ein Ausweisungsinteresse besteht, das nach § 54 Absatz 2 Nummer 7 des Aufenthaltsgesetzes schwer wiegt;</w:t>
      </w:r>
    </w:p>
    <w:p>
      <w:r>
        <w:t xml:space="preserve">dies gilt auch dann, wenn über diese Ausweisungsinteressen hinaus weitere Ausweisungsinteressen bestehen,</w:t>
      </w:r>
    </w:p>
    <w:p>
      <w:r>
        <w:t xml:space="preserve">2. Sicherheitsbefragungen und Sicherheitsgespräche im Sinne des § 54 Absatz 2 Nummer 7 des Aufenthaltsgesetzes.</w:t>
      </w:r>
    </w:p>
    <w:p>
      <w:r>
        <w:t xml:space="preserve">(2) Ist ein Ausweisungsverfahren nach Absatz 1 Nummer 1 anhängig, entscheidet die Zentrale Ausländerbehörde Essen bis zur Unanfechtbarkeit der Entscheidung über die Ausweisung nach Absatz 1 auch über die Erteilung oder Verlängerung eines Aufenthaltstitels.</w:t>
      </w:r>
    </w:p>
    <w:p>
      <w:r>
        <w:t xml:space="preserve">(3) Vorgänge, die Anlass zu der Prüfung einer Ausweisungsverfügung nach Absatz 1 Nummer 1 geben, übersendet die untere Ausländerbehörde unverzüglich der Zentralen Ausländerbehörde Essen.</w:t>
      </w:r>
    </w:p>
    <w:p>
      <w:r>
        <w:t xml:space="preserve">(4) Ist die Zentrale Ausländerbehörde Essen nach Absatz 1 Nummer 1 zuständig, ist sie auch zuständig für</w:t>
      </w:r>
    </w:p>
    <w:p>
      <w:r>
        <w:t xml:space="preserve">1. Maßnahmen nach § 11 des Aufenthaltsgesetzes,</w:t>
      </w:r>
    </w:p>
    <w:p>
      <w:r>
        <w:t xml:space="preserve">2. Maßnahmen nach den §§ 56 und 56a des Aufenthaltsgesetzes,</w:t>
      </w:r>
    </w:p>
    <w:p>
      <w:r>
        <w:t xml:space="preserve">3. Maßnahmen nach Kapitel 5 Abschnitt 2 des Aufenthaltsgesetzes, ausgenommen die Maßnahmen nach § 57 und den §§ 60c bis 61 des Aufenthaltsgesetzes, und</w:t>
      </w:r>
    </w:p>
    <w:p>
      <w:r>
        <w:t xml:space="preserve">4. die Fahndungsausschreibung nach § 50 Absatz 6 des Aufenthaltsgesetzes.</w:t>
      </w:r>
    </w:p>
    <w:p>
      <w:r>
        <w:t xml:space="preserve">(5) Die Zuständigkeit der Zentralen Ausländerbehörde Essen nach Absatz 4 gilt auch, wenn die ausländische Person nach einer freiwilligen Ausreise, Abschiebung oder Zurückschiebung unerlaubt wieder einreist. § 14 Absatz 7 bleibt unberührt.</w:t>
      </w:r>
    </w:p>
    <w:p>
      <w:r>
        <w:t xml:space="preserve">(6) Die im Übrigen aufenthaltsrechtlich zuständige untere Ausländerbehörde unterstützt die Zentrale Ausländerbehörde Essen in diesen Fällen bei der Aufgabenwahrnehmung.</w:t>
      </w:r>
    </w:p>
    <w:p>
      <w:r>
        <w:rPr>
          <w:color w:val="555555"/>
          <w:sz w:val="17"/>
        </w:rPr>
        <w:t xml:space="preserve">Zitiervorschlag: § 15a NW_32503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https://recht.nulegal.eu/gesetze/NW_32503/15a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