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NW_32486 (Nordrhein-Westfalen) — Inkrafttreten</w:t>
      </w:r>
    </w:p>
    <w:p>
      <w:r>
        <w:rPr>
          <w:color w:val="555555"/>
          <w:sz w:val="18"/>
        </w:rPr>
        <w:t xml:space="preserve">E-Rechnungsverordnung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April 2020 in Kraft.</w:t>
      </w:r>
    </w:p>
    <w:p>
      <w:r>
        <w:t xml:space="preserve">Der Minister für Wirtschaft, Digitalisierung, Innovation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8 NW_32486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https://recht.nulegal.eu/gesetze/NW_32486/8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