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NW_32486 (Nordrhein-Westfalen) — Geltungsbereich</w:t>
      </w:r>
    </w:p>
    <w:p>
      <w:r>
        <w:rPr>
          <w:color w:val="555555"/>
          <w:sz w:val="18"/>
        </w:rPr>
        <w:t xml:space="preserve">E-Rechnungsverordnung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Rechtsverordnung gilt für alle Rechnungen, mit denen eine Liefer-, Bau- oder Dienstleistung abgerechnet wird und die nach Erfüllung von öffentlichen Aufträgen und Aufträgen sowie zu Konzessionen ausgestellt wurden, soweit § 6 keine abweichenden Bestimmungen enthält.</w:t>
      </w:r>
    </w:p>
    <w:p>
      <w:r>
        <w:rPr>
          <w:color w:val="555555"/>
          <w:sz w:val="17"/>
        </w:rPr>
        <w:t xml:space="preserve">Zitiervorschlag: § 1 NW_32486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https://recht.nulegal.eu/gesetze/NW_32486/1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