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NW_32447 (Nordrhein-Westfalen) — Kommunalstatistiken</w:t>
      </w:r>
    </w:p>
    <w:p>
      <w:r>
        <w:rPr>
          <w:color w:val="555555"/>
          <w:sz w:val="18"/>
        </w:rPr>
        <w:t xml:space="preserve">LStatG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Gemeinden und Gemeindeverbände können im Rahmen ihres Selbstverwaltungsrechts im eigenen Interesse und auf eigene Kosten Kommunalstatistiken erstellen, wenn die erforderlichen Einzelangaben oder statistischen Ergebnisse nicht durch IT. NRW - Statistisches Landesamt - zur Verfügung gestellt werden können. § 2 Absatz 3 Satz 1 findet entsprechende Anwendung.</w:t>
      </w:r>
    </w:p>
    <w:p>
      <w:r>
        <w:t xml:space="preserve">(2) Kommunalstatistiken, die mit einer Auskunftspflicht für die zu Befragenden verbunden sind, sind durch Satzung anzuordnen. Keiner besonderen Anordnung bedürfen Kommunalstatistiken,</w:t>
      </w:r>
    </w:p>
    <w:p>
      <w:r>
        <w:t xml:space="preserve">1. die nicht mit einer Auskunftspflicht für die zu Befragenden verbunden sind,</w:t>
      </w:r>
    </w:p>
    <w:p>
      <w:r>
        <w:t xml:space="preserve">2. bei denen ausschließlich Daten aus allgemein zugänglichen Quellen verwendet werden oder</w:t>
      </w:r>
    </w:p>
    <w:p>
      <w:r>
        <w:t xml:space="preserve">3. bei denen Daten aus öffentlichen Registern verwendet werden, zu denen der Gemeinde oder dem Gemeindeverband ein Zugangsrecht auf Grund besonderer Rechtsvorschrift gewährt werden.</w:t>
      </w:r>
    </w:p>
    <w:p>
      <w:r>
        <w:t xml:space="preserve">(3) Zur Durchführung von Kommunalstatistiken können die Gemeinden und Gemeindeverbände unter Beachtung der sich aus Abschnitt 4 ergebenden Anforderungen kommunale Statistikstellen einrichten.</w:t>
      </w:r>
    </w:p>
    <w:p>
      <w:r>
        <w:t xml:space="preserve">(4) Die Einrichtung sowie die Auflösung einer kommunalen Statistikstelle ist von der Gemeinde oder dem Gemeindeverband ortsüblich bekanntzugeben. Sie ist IT. NRW - Statistisches Landesamt, der obersten Landesbehörde gemäß § 4 Absatz 1 Satz 1 sowie der oder dem Landesbeauftragten für Datenschutz und Informationsfreiheit schriftlich oder elektronisch anzuzeigen.</w:t>
      </w:r>
    </w:p>
    <w:p>
      <w:r>
        <w:rPr>
          <w:color w:val="555555"/>
          <w:sz w:val="17"/>
        </w:rPr>
        <w:t xml:space="preserve">Zitiervorschlag: § 8 NW_32447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https://recht.nulegal.eu/gesetze/NW_32447/8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