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NW_32447 (Nordrhein-Westfalen) — Erhebungen für besondere Zwecke</w:t>
      </w:r>
    </w:p>
    <w:p>
      <w:r>
        <w:rPr>
          <w:color w:val="555555"/>
          <w:sz w:val="18"/>
        </w:rPr>
        <w:t xml:space="preserve">LStatG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Erfüllung eines kurzfristig auftretenden Datenbedarfs oberster Landesbehörden dürfen Landesstatistiken ohne Auskunftspflicht durchgeführt werden. Die Kosten trägt die anordnende Stelle.</w:t>
      </w:r>
    </w:p>
    <w:p>
      <w:r>
        <w:t xml:space="preserve">(2) Zur Klärung methodisch-wissenschaftlicher Fragen auf dem Gebiet der Statistik dürfen Landesstatistiken ohne Auskunftspflicht durchgeführt werden.</w:t>
      </w:r>
    </w:p>
    <w:p>
      <w:r>
        <w:t xml:space="preserve">(3) Für Landesstatistiken nach den Absätzen 1 und 2 darf nur ein Teil der Grundgesamtheit befragt werden. Die Zahl der Befragten darf nicht höher sein, als für den Erhebungszweck erforderlich.</w:t>
      </w:r>
    </w:p>
    <w:p>
      <w:r>
        <w:rPr>
          <w:color w:val="555555"/>
          <w:sz w:val="17"/>
        </w:rPr>
        <w:t xml:space="preserve">Zitiervorschlag: § 7 NW_32447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https://recht.nulegal.eu/gesetze/NW_32447/7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