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18 NW_32447 (Nordrhein-Westfalen) — Trennung und Löschung der Hilfsmerkmale</w:t>
      </w:r>
    </w:p>
    <w:p>
      <w:r>
        <w:rPr>
          <w:color w:val="555555"/>
          <w:sz w:val="18"/>
        </w:rPr>
        <w:t xml:space="preserve">LStatG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Hilfsmerkmale sind</w:t>
      </w:r>
    </w:p>
    <w:p>
      <w:r>
        <w:t xml:space="preserve">1. zum frühestmöglichen Zeitpunkt von den Erhebungsmerkmalen zu trennen und gesondert</w:t>
      </w:r>
    </w:p>
    <w:p>
      <w:r>
        <w:t xml:space="preserve">aufzubewahren oder gesondert zu speichern und</w:t>
      </w:r>
    </w:p>
    <w:p>
      <w:r>
        <w:t xml:space="preserve">2. soweit eine sonstige Rechtsnorm nichts anderes bestimmt, zu löschen, sobald die Überprüfung der Erhebungs- und Hilfsmerkmale auf ihre Schlüssigkeit und Vollständigkeit abgeschlossen ist.</w:t>
      </w:r>
    </w:p>
    <w:p>
      <w:r>
        <w:rPr>
          <w:color w:val="555555"/>
          <w:sz w:val="17"/>
        </w:rPr>
        <w:t xml:space="preserve">Zitiervorschlag: § 18 NW_32447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https://recht.nulegal.eu/gesetze/NW_32447/18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