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NW_32447 (Nordrhein-Westfalen) — Erhebungs- und Hilfsmerkmale</w:t>
      </w:r>
    </w:p>
    <w:p>
      <w:r>
        <w:rPr>
          <w:color w:val="555555"/>
          <w:sz w:val="18"/>
        </w:rPr>
        <w:t xml:space="preserve">LStatG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Statistiken werden auf der Grundlage von Erhebungs- und Hilfsmerkmalen erstellt. Erhebungsmerkmale umfassen Angaben über persönliche und sachliche Verhältnisse, die zur statistischen Verwendung bestimmt sind. Hilfsmerkmale sind Angaben, die der technischen Durchführung von Statistiken dienen. Für andere Zwecke dürfen sie nur verwendet werden, soweit Absatz 2 oder ein sonstiges Gesetz es zulassen.</w:t>
      </w:r>
    </w:p>
    <w:p>
      <w:r>
        <w:t xml:space="preserve">(2) Der Name der Gemeinde, die Blockseite und die geografische Gitterzelle gemäß Absatz 3 dürfen für die regionale Zuordnung der Erhebungsmerkmale genutzt werden. Die übrigen Teile der Anschrift dürfen für die Zuordnung zu Blockseiten und geografischen Gitterzellen für einen Zeitraum von bis zu vier Jahren nach Abschluss der jeweiligen Erhebung genutzt werden. Besondere Regelungen in einer eine Statistik anordnenden Rechtsnorm bleiben unberührt.</w:t>
      </w:r>
    </w:p>
    <w:p>
      <w:r>
        <w:t xml:space="preserve">(3) Blockseite ist innerhalb eines Gemeindegebiets die Seite mit gleicher Straßenbezeichnung von der durch Straßeneinmündungen oder vergleichbare Begrenzungen umschlossenen Fläche. Eine geografische Gitterzelle ist eine Gebietseinheit, die bezogen auf eine vorgegebene Kartenprojektion quadratisch ist und mindestens ein Hektar groß ist.</w:t>
      </w:r>
    </w:p>
    <w:p>
      <w:r>
        <w:rPr>
          <w:color w:val="555555"/>
          <w:sz w:val="17"/>
        </w:rPr>
        <w:t xml:space="preserve">Zitiervorschlag: § 17 NW_32447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https://recht.nulegal.eu/gesetze/NW_32447/17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