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NW_32447 (Nordrhein-Westfalen) — Unterrichtung der zu Befragenden</w:t>
      </w:r>
    </w:p>
    <w:p>
      <w:r>
        <w:rPr>
          <w:color w:val="555555"/>
          <w:sz w:val="18"/>
        </w:rPr>
        <w:t xml:space="preserve">LStatG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 Befragenden sind schriftlich oder elektronisch zu unterrichten über</w:t>
      </w:r>
    </w:p>
    <w:p>
      <w:r>
        <w:t xml:space="preserve">1. Zweck, Art und Umfang der Erhebung,</w:t>
      </w:r>
    </w:p>
    <w:p>
      <w:r>
        <w:t xml:space="preserve">2. die statistische Geheimhaltung (§ 13),</w:t>
      </w:r>
    </w:p>
    <w:p>
      <w:r>
        <w:t xml:space="preserve">3. die Auskunftspflicht oder die Freiwilligkeit der Auskunftserteilung (§ 11),</w:t>
      </w:r>
    </w:p>
    <w:p>
      <w:r>
        <w:t xml:space="preserve">4. die angebotenen Möglichkeiten zur Form der Erfüllung der Auskunftspflicht (§ 15),</w:t>
      </w:r>
    </w:p>
    <w:p>
      <w:r>
        <w:t xml:space="preserve">5. die Trennung und Löschung der Hilfsmerkmale (§ 18),</w:t>
      </w:r>
    </w:p>
    <w:p>
      <w:r>
        <w:t xml:space="preserve">6. die Rechte und Pflichten der Erhebungsbeauftragten (§ 22),</w:t>
      </w:r>
    </w:p>
    <w:p>
      <w:r>
        <w:t xml:space="preserve">7. den Ausschluss der aufschiebenden Wirkung der Anfechtungsklage gegen die Aufforderung zur Auskunftserteilung (§ 11 Absatz 2) und</w:t>
      </w:r>
    </w:p>
    <w:p>
      <w:r>
        <w:t xml:space="preserve">8. die Bedeutung und den Inhalt von laufenden Nummern und Ordnungsnummern.</w:t>
      </w:r>
    </w:p>
    <w:p>
      <w:r>
        <w:rPr>
          <w:color w:val="555555"/>
          <w:sz w:val="17"/>
        </w:rPr>
        <w:t xml:space="preserve">Zitiervorschlag: § 16 NW_32447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https://recht.nulegal.eu/gesetze/NW_32447/16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