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NW_32421 (Nordrhein-Westfalen)</w:t>
      </w:r>
    </w:p>
    <w:p>
      <w:r>
        <w:rPr>
          <w:color w:val="555555"/>
          <w:sz w:val="18"/>
        </w:rPr>
        <w:t xml:space="preserve">ZustVO-Kulturgutschutz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30. April 2019</w:t>
      </w:r>
    </w:p>
    <w:p>
      <w:r>
        <w:t xml:space="preserve">Aufgrund des § 3 Abs. 1 Satz 2 des Gesetzes zur Neuregelung des Kulturgutschutzrechts vom 31. Juli 2016 (BGBl. I S. 1914) zuletzt geändert durch Art. 6 Abs. 13 des Gesetzes zur Reform der strafrechtlichen Vermögensabschöpfung vom 13. April 2017 (BGBl. I S. 872) und des § 5 Abs. 3 des Landesorganisationsgesetzes NRW vom 10. Juli 1962 (GV. NRW. S. 421) zuletzt geändert durch Art. 2 des sechsten Änderungsgesetzes vom 01. Oktober 2013 (GV. NRW. S. 566) wird verordnet:</w:t>
      </w:r>
    </w:p>
    <w:p>
      <w:r>
        <w:rPr>
          <w:color w:val="555555"/>
          <w:sz w:val="17"/>
        </w:rPr>
        <w:t xml:space="preserve">Zitiervorschlag: Volltext NW_32421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https://recht.nulegal.eu/gesetze/NW_32421/volltext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