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NW_32421 (Nordrhein-Westfalen)</w:t>
      </w:r>
    </w:p>
    <w:p>
      <w:r>
        <w:rPr>
          <w:color w:val="555555"/>
          <w:sz w:val="18"/>
        </w:rPr>
        <w:t xml:space="preserve">ZustVO-Kulturgutschutz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ihrer Verkündung in Kraft. Gleichzeitig tritt die Verordnung über Zuständigkeiten und das Antragsrecht nach dem Gesetz zum Schutz deutschen Kulturgutes gegen Abwanderung vom 18. Mai 2004 (GV. NRW. S. 248) außer Kraft.</w:t>
      </w:r>
    </w:p>
    <w:p>
      <w:r>
        <w:t xml:space="preserve">Die Landesregierung</w:t>
      </w:r>
    </w:p>
    <w:p>
      <w:r>
        <w:t xml:space="preserve">Nordrhein-Westfalen</w:t>
      </w:r>
    </w:p>
    <w:p>
      <w:r>
        <w:t xml:space="preserve">Der Ministerpräsident</w:t>
      </w:r>
    </w:p>
    <w:p>
      <w:r>
        <w:t xml:space="preserve">Die Ministerin für Kultur und Wissenschaft</w:t>
      </w:r>
    </w:p>
    <w:p>
      <w:r>
        <w:t xml:space="preserve">des Landes Nordrhein-Westfalen</w:t>
      </w:r>
    </w:p>
    <w:p>
      <w:r>
        <w:rPr>
          <w:color w:val="555555"/>
          <w:sz w:val="17"/>
        </w:rPr>
        <w:t xml:space="preserve">Zitiervorschlag: § 2 NW_32421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