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NW_32416 (Nordrhein-Westfalen) — Berlin-Klausel</w:t>
      </w:r>
    </w:p>
    <w:p>
      <w:r>
        <w:rPr>
          <w:color w:val="555555"/>
          <w:sz w:val="18"/>
        </w:rPr>
        <w:t xml:space="preserve">Verordnung zu § 26 Abs. 4 Nr. 4 des Bundesbesoldungsgesetzes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§ 82 des Bundesbesoldungsgesetzes auch im Land Berlin.</w:t>
      </w:r>
    </w:p>
    <w:p>
      <w:r>
        <w:rPr>
          <w:color w:val="555555"/>
          <w:sz w:val="17"/>
        </w:rPr>
        <w:t xml:space="preserve">Zitiervorschlag: § 2 NW_32416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