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NW_32415 (Nordrhein-Westfalen) — Rechtsstand</w:t>
      </w:r>
    </w:p>
    <w:p>
      <w:r>
        <w:rPr>
          <w:color w:val="555555"/>
          <w:sz w:val="18"/>
        </w:rPr>
        <w:t xml:space="preserve">Werkleiterbesoldungsverordnung des Bundes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Verringert sich nach Inkrafttreten dieser Verordnung die Bemessungsgrundlage (§ 2) oder der Einstufungsmaßstab (§ 1 Abs. 1), so behalten die in dieser Verordnung aufgeführten Beamten für ihre Person und für die Dauer der Wahrnehmung des Amtes die Bezüge der bisherigen Besoldungsgruppe.</w:t>
      </w:r>
    </w:p>
    <w:p>
      <w:r>
        <w:rPr>
          <w:color w:val="555555"/>
          <w:sz w:val="17"/>
        </w:rPr>
        <w:t xml:space="preserve">Zitiervorschlag: § 6 NW_32415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https://recht.nulegal.eu/gesetze/NW_32415/6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