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NW_32415 (Nordrhein-Westfalen) — Mehrere Werkleiter</w:t>
      </w:r>
    </w:p>
    <w:p>
      <w:r>
        <w:rPr>
          <w:color w:val="555555"/>
          <w:sz w:val="18"/>
        </w:rPr>
        <w:t xml:space="preserve">Werkleiterbesoldungsverordnung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ein Erster Werkleiter bestellt, so werden die Ämter der anderen Werkleiter eine Besoldungsgruppe unter seiner Besoldungsgruppe eingestuft.</w:t>
      </w:r>
    </w:p>
    <w:p>
      <w:r>
        <w:t xml:space="preserve">(2) Sind anstelle des Ersten Werkleiters zwei gleichberechtigte Werkleiter eingesetzt, so werden ihre Ämter wie das Amt des Ersten Werkleiters eingestuft.</w:t>
      </w:r>
    </w:p>
    <w:p>
      <w:r>
        <w:rPr>
          <w:color w:val="555555"/>
          <w:sz w:val="17"/>
        </w:rPr>
        <w:t xml:space="preserve">Zitiervorschlag: § 4 NW_32415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