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NW_32414 (Nordrhein-Westfalen) — Einstufung der Ämter</w:t>
      </w:r>
    </w:p>
    <w:p>
      <w:r>
        <w:rPr>
          <w:color w:val="555555"/>
          <w:sz w:val="18"/>
        </w:rPr>
        <w:t xml:space="preserve">Sparkassenbesoldungsverordnung des Bundes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Ämter der hauptamtlichen Vorstandsmitglieder öffentlich-rechtlicher Sparkassen (Sparkassendirektoren) werden unter Berücksichtigung der Bemessungsgrundlage des § 2 wie folgt eingestuft:</w:t>
      </w:r>
    </w:p>
    <w:p>
      <w:r>
        <w:t xml:space="preserve">-------------------------------------------------------------------------------</w:t>
      </w:r>
    </w:p>
    <w:p>
      <w:r>
        <w:t xml:space="preserve">als Vorstands- als weitere</w:t>
      </w:r>
    </w:p>
    <w:p>
      <w:r>
        <w:t xml:space="preserve">Amtsbezeichnung Bemessungsgrundlage in Millionen DM vorsitzender Vorstands-</w:t>
      </w:r>
    </w:p>
    <w:p>
      <w:r>
        <w:t xml:space="preserve">mitglieder</w:t>
      </w:r>
    </w:p>
    <w:p>
      <w:r>
        <w:t xml:space="preserve">BesGr. BesGr.</w:t>
      </w:r>
    </w:p>
    <w:p>
      <w:r>
        <w:t xml:space="preserve">-------------------------------------------------------------------------------</w:t>
      </w:r>
    </w:p>
    <w:p>
      <w:r>
        <w:t xml:space="preserve">Sparkassen- bis 175 Mio DM A 12/A 13 A 11/A 12,</w:t>
      </w:r>
    </w:p>
    <w:p>
      <w:r>
        <w:t xml:space="preserve">direktor mehr als 175 bis 290 Mio DM A 13/A 14 A 12/A 13,</w:t>
      </w:r>
    </w:p>
    <w:p>
      <w:r>
        <w:t xml:space="preserve">mehr als 290 bis 575 Mio DM A 14/A 15 A 13/A 14,</w:t>
      </w:r>
    </w:p>
    <w:p>
      <w:r>
        <w:t xml:space="preserve">mehr als 575 bis 1.050 Mio DM A 15/A 16 A 14/A 15,</w:t>
      </w:r>
    </w:p>
    <w:p>
      <w:r>
        <w:t xml:space="preserve">mehr als 1.050 bis 1.845 Mio DM A 16/B 2 A 15/A 16,</w:t>
      </w:r>
    </w:p>
    <w:p>
      <w:r>
        <w:t xml:space="preserve">mehr als 1.845 bis 2.730 Mio DM B 2/B 3 A 16/B 2,</w:t>
      </w:r>
    </w:p>
    <w:p>
      <w:r>
        <w:t xml:space="preserve">mehr als 2.730 bis 4.200 Mio DM B 3/B 4 B 2/B 3,</w:t>
      </w:r>
    </w:p>
    <w:p>
      <w:r>
        <w:t xml:space="preserve">mehr als 4.200 bis 6.930 Mio DM B 4/B 5 B 3/B 4,</w:t>
      </w:r>
    </w:p>
    <w:p>
      <w:r>
        <w:t xml:space="preserve">mehr als 6.930 bis 9.870 Mio DM B 5/B 6 B 4/B 5,</w:t>
      </w:r>
    </w:p>
    <w:p>
      <w:r>
        <w:t xml:space="preserve">mehr als 9.870 Mio DM B 6/B 7 B 5/B 6.</w:t>
      </w:r>
    </w:p>
    <w:p>
      <w:r>
        <w:t xml:space="preserve">Die Einstufung in eine der beiden jeweils genannten Besoldungsgruppen erfolgt durch Beschluß der zuständigen Stelle. Der Beschluß ist dem Beamten, der im Zeitpunkt der Beschlußfassung im Amt ist, zuzustellen.</w:t>
      </w:r>
    </w:p>
    <w:p>
      <w:r>
        <w:t xml:space="preserve">(2) Der Amtsbezeichnung kann ein auf die ausgeübte Funktion hinweisender Zusatz beigefügt werden.</w:t>
      </w:r>
    </w:p>
    <w:p>
      <w:r>
        <w:rPr>
          <w:color w:val="555555"/>
          <w:sz w:val="17"/>
        </w:rPr>
        <w:t xml:space="preserve">Zitiervorschlag: § 1 NW_32414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https://recht.nulegal.eu/gesetze/NW_32414/1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