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NW_32413 (Nordrhein-Westfalen) — Wahlbeamte der Kreise</w:t>
      </w:r>
    </w:p>
    <w:p>
      <w:r>
        <w:rPr>
          <w:color w:val="555555"/>
          <w:sz w:val="18"/>
        </w:rPr>
        <w:t xml:space="preserve">Kommunalbesoldungsverordnung des 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Amt des Landrats (Oberkreisdirektors) eines Kreises darf nach sachgerechter Bewertung höchstens eingestuft werden:</w:t>
      </w:r>
    </w:p>
    <w:p>
      <w:r>
        <w:t xml:space="preserve">Bei einer Größenordnung in Besoldungsgruppe</w:t>
      </w:r>
    </w:p>
    <w:p>
      <w:r>
        <w:t xml:space="preserve">-------------------------------------------------------------------------------</w:t>
      </w:r>
    </w:p>
    <w:p>
      <w:r>
        <w:t xml:space="preserve">bis zu 75.000 Einwohnern B 4</w:t>
      </w:r>
    </w:p>
    <w:p>
      <w:r>
        <w:t xml:space="preserve">bis zu 150.000 Einwohnern B 5</w:t>
      </w:r>
    </w:p>
    <w:p>
      <w:r>
        <w:t xml:space="preserve">bis zu 300.000 Einwohnern B 6</w:t>
      </w:r>
    </w:p>
    <w:p>
      <w:r>
        <w:t xml:space="preserve">bis zu 700.000 Einwohnern B 7.</w:t>
      </w:r>
    </w:p>
    <w:p>
      <w:r>
        <w:t xml:space="preserve">(2) Das Amt des allgemeinen Vertreters des Landrats (Oberkreisdirektors) ist um mindestens eine Besoldungsgruppe niedriger einzustufen als das Amt des Landrats (Oberkreisdirektors) nach Absatz 1.</w:t>
      </w:r>
    </w:p>
    <w:p>
      <w:r>
        <w:t xml:space="preserve">(3) Die Ämter der weiteren hauptamtlichen Wahlbeamten auf Zeit der Kreise sind um mindestens zwei Besoldungsgruppen niedriger einzustufen als das Amt des Landrats (Oberkreisdirektors) nach Absatz 1.</w:t>
      </w:r>
    </w:p>
    <w:p>
      <w:r>
        <w:t xml:space="preserve">(4) Für das Amt des Landrats (Oberkreisdirektors) gilt § 2 Abs. 5 entsprechend mit der Maßgabe, daß die Besoldungsgruppe B 7 nicht überschritten wird. Dies gilt nicht für die in den Absätzen 2 und 3 genannten Beamten.</w:t>
      </w:r>
    </w:p>
    <w:p>
      <w:r>
        <w:rPr>
          <w:color w:val="555555"/>
          <w:sz w:val="17"/>
        </w:rPr>
        <w:t xml:space="preserve">Zitiervorschlag: § 3 NW_32413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