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NW_32410 (Nordrhein-Westfalen)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der Vergütung sind auch die besonderen, für die Vollziehertätigkeit typischen Aufwendungen abgegolten. Typische Aufwendungen sind insbesondere die Aufwendungen bei Nachtdienst.</w:t>
      </w:r>
    </w:p>
    <w:p>
      <w:r>
        <w:t xml:space="preserve">(2) Die Abgeltung der mit dem Außendienst verbundenen Fahrtkosten und sonstigen Mehraufwendungen richtet sich - soweit hierzu nicht besondere Bestimmungen ergangen sind - nach den allgemeinen reisekostenrechtlichen Vorschriften.</w:t>
      </w:r>
    </w:p>
    <w:p>
      <w:r>
        <w:rPr>
          <w:color w:val="555555"/>
          <w:sz w:val="17"/>
        </w:rPr>
        <w:t xml:space="preserve">Zitiervorschlag: § 11 NW_32410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