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NW_32408 (Nordrhein-Westfalen) — Unterbrechung der zulageberechtigenden Tätigkeit</w:t>
      </w:r>
    </w:p>
    <w:p>
      <w:r>
        <w:rPr>
          <w:color w:val="555555"/>
          <w:sz w:val="18"/>
        </w:rPr>
        <w:t xml:space="preserve">Erschwerniszulagenverordnung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einer Unterbrechung der zulageberechtigenden Tätigkeit wird die Zulage nur weitergewährt im Falle</w:t>
      </w:r>
    </w:p>
    <w:p>
      <w:r>
        <w:t xml:space="preserve">1. eines Erholungsurlaubs,</w:t>
      </w:r>
    </w:p>
    <w:p>
      <w:r>
        <w:t xml:space="preserve">2. eines Sonderurlaubs unter Fortzahlung der Dienstbezüge,</w:t>
      </w:r>
    </w:p>
    <w:p>
      <w:r>
        <w:t xml:space="preserve">3. einer Erkrankung einschließlich Heilkur,</w:t>
      </w:r>
    </w:p>
    <w:p>
      <w:r>
        <w:t xml:space="preserve">4. einer Dienstbefreiung oder einer Freistellung vom Dienst für besondere zeitliche Belastungen (§ 50a des Bundesbesoldungsgesetzes),</w:t>
      </w:r>
    </w:p>
    <w:p>
      <w:r>
        <w:t xml:space="preserve">5. einer Teilnahme an Fortbildungsveranstaltungen,</w:t>
      </w:r>
    </w:p>
    <w:p>
      <w:r>
        <w:t xml:space="preserve">6. einer Dienstreise,</w:t>
      </w:r>
    </w:p>
    <w:p>
      <w:r>
        <w:t xml:space="preserve">soweit in den §§ 20 bis 26 nichts anderes bestimmt ist. In den Fällen der Nummern 2 bis 6 wird die Zulage nur weitergewährt bis zum Ende des Monats, der auf den Eintritt der Unterbrechung folgt. Bei einer Unterbrechung der zulageberechtigenden Verwendung durch Erkrankung einschließlich Heilkur, die auf einem Dienstunfall beruht, wird die Zulage weitergewährt bis zum Ende des sechsten Monats, der auf den Eintritt der Unterbrechung folgt.</w:t>
      </w:r>
    </w:p>
    <w:p>
      <w:r>
        <w:t xml:space="preserve">(2) Die Befristungen nach Absatz 1 Satz 2 und 3 gelten nicht, wenn bei Beamten die Voraussetzungen des § 43 des Landesbeamtenversorgungsgesetzes erfüllt sind. Es ist nicht erforderlich, dass sich der Beamte oder Soldat des Lebenseinsatzes bei Ausübung der Diensthandlung bewusst war.</w:t>
      </w:r>
    </w:p>
    <w:p>
      <w:r>
        <w:rPr>
          <w:color w:val="555555"/>
          <w:sz w:val="17"/>
        </w:rPr>
        <w:t xml:space="preserve">Zitiervorschlag: § 19 NW_32408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https://recht.nulegal.eu/gesetze/NW_32408/19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