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NW_32368 (Nordrhein-Westfalen) — Ordnungswidrigkeiten</w:t>
      </w:r>
    </w:p>
    <w:p>
      <w:r>
        <w:rPr>
          <w:color w:val="555555"/>
          <w:sz w:val="18"/>
        </w:rPr>
        <w:t xml:space="preserve">NNM-VO Kluterthöhlensystem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nach § 77 Absatz 1 Nummer 4 des Landesnaturschutzgesetzes handelt, wer im Nationalen Naturmonument vorsätzlich oder fahrlässig einem Verbot nach § 5 zuwiderhandelt, sofern nicht die Handlung nach § 6 zulässig ist oder für sie eine Ausnahme oder Befreiung nach § 7 erteilt wurde. Nach § 78 des Landesnaturschutzgesetzes können Ordnungswidrigkeiten mit einer Geldbuße bis zu fünfzigtausend Euro geahndet werden.</w:t>
      </w:r>
    </w:p>
    <w:p>
      <w:r>
        <w:t xml:space="preserve">(2) Unberührt bleiben die Regelungen über die Ordnungswidrigkeiten nach anderen gesetzlichen Vorschriften.</w:t>
      </w:r>
    </w:p>
    <w:p>
      <w:r>
        <w:rPr>
          <w:color w:val="555555"/>
          <w:sz w:val="17"/>
        </w:rPr>
        <w:t xml:space="preserve">Zitiervorschlag: § 9 NW_32368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https://recht.nulegal.eu/gesetze/NW_32368/9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