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NW_32368 (Nordrhein-Westfalen) — Verhältnis zu anderen Schutzvorschriften</w:t>
      </w:r>
    </w:p>
    <w:p>
      <w:r>
        <w:rPr>
          <w:color w:val="555555"/>
          <w:sz w:val="18"/>
        </w:rPr>
        <w:t xml:space="preserve">NNM-VO Kluterthöhlensystem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Nationale Naturmonument ist zugleich Bestandteil des im Landschaftsplan „Raum Ennepetal / Gevelsberg / Schwelm“ im Jahr 2001 festgesetzten Naturschutzgebietes „Kluterthöhle und Bismarckhöhle“.</w:t>
      </w:r>
    </w:p>
    <w:p>
      <w:r>
        <w:t xml:space="preserve">(2) Die Regelungen der in Absatz 1 genannten Unterschutzstellung bleiben unberührt.</w:t>
      </w:r>
    </w:p>
    <w:p>
      <w:r>
        <w:rPr>
          <w:color w:val="555555"/>
          <w:sz w:val="17"/>
        </w:rPr>
        <w:t xml:space="preserve">Zitiervorschlag: § 8 NW_32368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https://recht.nulegal.eu/gesetze/NW_32368/8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