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NW_32368 (Nordrhein-Westfalen) — Schutz-, Pflege- und Entwicklungsziele</w:t>
      </w:r>
    </w:p>
    <w:p>
      <w:r>
        <w:rPr>
          <w:color w:val="555555"/>
          <w:sz w:val="18"/>
        </w:rPr>
        <w:t xml:space="preserve">NNM-VO Kluterthöhlensystem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Nationalen Naturmonument</w:t>
      </w:r>
    </w:p>
    <w:p>
      <w:r>
        <w:t xml:space="preserve">1. ist die Seltenheit, Eigenart und Schönheit des Höhlensystems für nachfolgende Generationen durch geeignete Maßnahmen zu erhalten und zu entwickeln,</w:t>
      </w:r>
    </w:p>
    <w:p>
      <w:r>
        <w:t xml:space="preserve">2. sind alle Maßnahmen so durchzuführen, dass das Höhlensystem in seiner geohistorisch gewachsenen Form einschließlich seines unbelebten Inventars erhalten und sein Erlebniswert sowie sein Erscheinungsbild dauerhaft gesichert wird,</w:t>
      </w:r>
    </w:p>
    <w:p>
      <w:r>
        <w:t xml:space="preserve">3. ist bei der Nutzung, Pflege und Entwicklung des Höhlensystems seine Funktion als Lebensraum für die Arten im Sinn des § 3 Absatz 2 Nummer 3 zu wahren,</w:t>
      </w:r>
    </w:p>
    <w:p>
      <w:r>
        <w:t xml:space="preserve">4. ist bei der Durchführung wissenschaftlicher Forschungsarbeiten, der Umwelt- und Geschichtsbildung, sowie bei den Maßnahmen zur Erlebbarkeit des Nationalen Naturmonuments zu gewährleisten, dass sie mit den in § 3 formulierten Schutzzwecken vereinbar sind und</w:t>
      </w:r>
    </w:p>
    <w:p>
      <w:r>
        <w:t xml:space="preserve">5. ist das besondere Höhlenklima zu erhalten.</w:t>
      </w:r>
    </w:p>
    <w:p>
      <w:r>
        <w:t xml:space="preserve">(2) Die untere Naturschutzbehörde bestimmt die erforderlichen Schutz-, Pflege- und Entwicklungsmaßnahmen innerhalb von drei Jahren nach Inkrafttreten der Verordnung und legt ein Konzept für ein Monitoring fest.</w:t>
      </w:r>
    </w:p>
    <w:p>
      <w:r>
        <w:rPr>
          <w:color w:val="555555"/>
          <w:sz w:val="17"/>
        </w:rPr>
        <w:t xml:space="preserve">Zitiervorschlag: § 4 NW_32368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https://recht.nulegal.eu/gesetze/NW_32368/4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