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NW_32368 (Nordrhein-Westfalen) — Inkrafttreten</w:t>
      </w:r>
    </w:p>
    <w:p>
      <w:r>
        <w:rPr>
          <w:color w:val="555555"/>
          <w:sz w:val="18"/>
        </w:rPr>
        <w:t xml:space="preserve">NNM-VO Kluterthöhlensystem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Ministerin</w:t>
      </w:r>
    </w:p>
    <w:p>
      <w:r>
        <w:t xml:space="preserve">für Umwelt, Landwirtschaft,</w:t>
      </w:r>
    </w:p>
    <w:p>
      <w:r>
        <w:t xml:space="preserve">Natur-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NW_32368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https://recht.nulegal.eu/gesetze/NW_32368/10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