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NW_32357 (Nordrhein-Westfalen) — Inkrafttreten und Außerkrafttreten</w:t>
      </w:r>
    </w:p>
    <w:p>
      <w:r>
        <w:rPr>
          <w:color w:val="555555"/>
          <w:sz w:val="18"/>
        </w:rPr>
        <w:t xml:space="preserve">AG InsO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Dieses Gesetz tritt am Tag nach der Verkündung in Kraft. Gleichzeitig tritt das Gesetz zur Ausführung der Insolvenzordnung vom 23. Juni 1998 (GV. NRW. S. 435), das zuletzt durch Artikel 8 des Gesetzes vom 17. Dezember 2009 (GV. NRW. S. 863) geändert worden ist, außer Kraft. Die Landesregierung berichtet dem Landtag bis zum 31. Dezember 2028 und danach alle zehn Jahre über die Auswirkungen dieses Gesetzes.</w:t>
      </w:r>
    </w:p>
    <w:p>
      <w:r>
        <w:t xml:space="preserve">Die Landesregierung</w:t>
      </w:r>
    </w:p>
    <w:p>
      <w:r>
        <w:t xml:space="preserve">Nordrhein-Westfalen</w:t>
      </w:r>
    </w:p>
    <w:p>
      <w:r>
        <w:t xml:space="preserve">Der Ministerpräsident</w:t>
      </w:r>
    </w:p>
    <w:p>
      <w:r>
        <w:t xml:space="preserve">Der Minister für Kinder, Familie, Flüchtlinge und Integration</w:t>
      </w:r>
    </w:p>
    <w:p>
      <w:r>
        <w:t xml:space="preserve">Der Minister der Finanzen</w:t>
      </w:r>
    </w:p>
    <w:p>
      <w:r>
        <w:t xml:space="preserve">Der Minister des Innern</w:t>
      </w:r>
    </w:p>
    <w:p>
      <w:r>
        <w:t xml:space="preserve">Der Minister für Wirtschaft, Innovation, Digitalisierung und Energie</w:t>
      </w:r>
    </w:p>
    <w:p>
      <w:r>
        <w:t xml:space="preserve">Die Ministerin für Heimat, Kommunales, Bau und Gleichstellung</w:t>
      </w:r>
    </w:p>
    <w:p>
      <w:r>
        <w:t xml:space="preserve">Der Minister der Justiz</w:t>
      </w:r>
    </w:p>
    <w:p>
      <w:r>
        <w:t xml:space="preserve">Die Ministerin für Umwelt, Landwirtschaft, Natur- und Verbraucherschutz</w:t>
      </w:r>
    </w:p>
    <w:p>
      <w:r>
        <w:rPr>
          <w:color w:val="555555"/>
          <w:sz w:val="17"/>
        </w:rPr>
        <w:t xml:space="preserve">Zitiervorschlag: § 7 NW_32357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https://recht.nulegal.eu/gesetze/NW_32357/7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