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NW_32338 (Nordrhein-Westfalen)</w:t>
      </w:r>
    </w:p>
    <w:p>
      <w:r>
        <w:rPr>
          <w:color w:val="555555"/>
          <w:sz w:val="18"/>
        </w:rPr>
        <w:t xml:space="preserve">Satzung über die Gemeinnützigkeit des Betriebs gewerblicher Art LWL-Landesjugendamt Westfalen, LWL-Bildungszentrum Jugendhof Vlotho, LWL-Berufskolleg - Fachschulen Hamm und Koordinationsstelle Sucht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darf keine Person durch Ausgaben, die dem Zweck des Betriebes gewerblicher Art fremd sind oder durch unverhältnismäßig hohe Vergütungen begünstigt werden.</w:t>
      </w:r>
    </w:p>
    <w:p>
      <w:r>
        <w:rPr>
          <w:color w:val="555555"/>
          <w:sz w:val="17"/>
        </w:rPr>
        <w:t xml:space="preserve">Zitiervorschlag: § 4 NW_32338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https://recht.nulegal.eu/gesetze/NW_32338/4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