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NW_32338 (Nordrhein-Westfalen)</w:t>
      </w:r>
    </w:p>
    <w:p>
      <w:r>
        <w:rPr>
          <w:color w:val="555555"/>
          <w:sz w:val="18"/>
        </w:rPr>
        <w:t xml:space="preserve">Satzung über die Gemeinnützigkeit des Betriebs gewerblicher Art LWL-Landesjugendamt Westfalen, LWL-Bildungszentrum Jugendhof Vlotho, LWL-Berufskolleg - Fachschulen Hamm und Koordinationsstelle Sucht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Mittel des Betriebes gewerblicher Art dürfen nur für die satzungsgemäßen Zwecke verwendet werden. Die Trägerkörperschaft erhält keine Zuwendungen aus Mitteln des Betriebes gewerblicher Art.</w:t>
      </w:r>
    </w:p>
    <w:p>
      <w:r>
        <w:t xml:space="preserve">(2) Die Trägerkörperschaft erhält bei Auflösung oder Aufhebung des Betriebes gewerblicher Art oder bei Wegfall steuerbegünstigter Zwecke nicht mehr als seine eingezahlten Kapitalanteile und den gemeinen Wert seiner geleisteten Sacheinlagen zurück.</w:t>
      </w:r>
    </w:p>
    <w:p>
      <w:r>
        <w:rPr>
          <w:color w:val="555555"/>
          <w:sz w:val="17"/>
        </w:rPr>
        <w:t xml:space="preserve">Zitiervorschlag: § 3 NW_32338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https://recht.nulegal.eu/gesetze/NW_32338/3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