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NW_32325 (Nordrhein-Westfalen)</w:t>
      </w:r>
    </w:p>
    <w:p>
      <w:r>
        <w:rPr>
          <w:color w:val="555555"/>
          <w:sz w:val="18"/>
        </w:rPr>
        <w:t xml:space="preserve">LAGPflB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Dezember 2018</w:t>
      </w:r>
    </w:p>
    <w:p>
      <w:r>
        <w:t xml:space="preserve">(Artikel 1 des Gesetzes vom 18. Dezember 2018 (GV. NRW. S. 767))</w:t>
      </w:r>
    </w:p>
    <w:p>
      <w:r>
        <w:rPr>
          <w:color w:val="555555"/>
          <w:sz w:val="17"/>
        </w:rPr>
        <w:t xml:space="preserve">Zitiervorschlag: Volltext NW_32325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https://recht.nulegal.eu/gesetze/NW_32325/volltext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NW_32325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