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NW_32325 (Nordrhein-Westfalen) — Inkrafttreten, Berichtspflicht</w:t>
      </w:r>
    </w:p>
    <w:p>
      <w:r>
        <w:rPr>
          <w:color w:val="555555"/>
          <w:sz w:val="18"/>
        </w:rPr>
        <w:t xml:space="preserve">LAGPflB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2020 in Kraft. Die Landesregierung überprüft die Wirksamkeit dieses Gesetzes und berichtet dem Landtag darüber bis zum 31. Dezember 2026.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6 NW_32325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