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NW_32324 (Nordrhein-Westfalen) — Verwendungsnachweis</w:t>
      </w:r>
    </w:p>
    <w:p>
      <w:r>
        <w:rPr>
          <w:color w:val="555555"/>
          <w:sz w:val="18"/>
        </w:rPr>
        <w:t xml:space="preserve">Satzung des Landschaftsverbandes Rheinland über die inklusive Bauprojektförderung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Abnahme und Schlussrechnung der Baumaßnahme ist ein Verwendungsnachweis der Fördermittel vorzulegen.</w:t>
      </w:r>
    </w:p>
    <w:p>
      <w:r>
        <w:t xml:space="preserve">(2) Nicht zweckentsprechend verwendete Mittel werden zurückgefordert und sind zurück zu zahlen.</w:t>
      </w:r>
    </w:p>
    <w:p>
      <w:r>
        <w:rPr>
          <w:color w:val="555555"/>
          <w:sz w:val="17"/>
        </w:rPr>
        <w:t xml:space="preserve">Zitiervorschlag: § 5 NW_32324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