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NW_32324 (Nordrhein-Westfalen) — Verfahren</w:t>
      </w:r>
    </w:p>
    <w:p>
      <w:r>
        <w:rPr>
          <w:color w:val="555555"/>
          <w:sz w:val="18"/>
        </w:rPr>
        <w:t xml:space="preserve">Satzung des Landschaftsverbandes Rheinland über die inklusive Bauprojektförderung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Anträge werden in der Reihenfolge des Einganges bearbeitet und beschieden, soweit Haushaltsmittel zur Verfügung stehen.</w:t>
      </w:r>
    </w:p>
    <w:p>
      <w:r>
        <w:t xml:space="preserve">(2) Wenn die zur Verfügung stehenden Haushaltsmittel ausgeschöpft sind, gehen die Anträge in das neue Förderjahr über.</w:t>
      </w:r>
    </w:p>
    <w:p>
      <w:r>
        <w:t xml:space="preserve">(3) Erforderlich ist bei jeder Förderung eine politische Beschlussfassung.</w:t>
      </w:r>
    </w:p>
    <w:p>
      <w:r>
        <w:t xml:space="preserve">(4) Ein Anspruch auf Förderung besteht nicht. Der LVR entscheidet über eine Förderung im Einzelfall nach pflichtgemäßem Ermessen unter Wahrung des Gleichbehandlungsgrundsatzes.</w:t>
      </w:r>
    </w:p>
    <w:p>
      <w:r>
        <w:t xml:space="preserve">(5) Einzelheiten des Verfahrens werden in den Förderrichtlinien geregelt.</w:t>
      </w:r>
    </w:p>
    <w:p>
      <w:r>
        <w:rPr>
          <w:color w:val="555555"/>
          <w:sz w:val="17"/>
        </w:rPr>
        <w:t xml:space="preserve">Zitiervorschlag: § 4 NW_32324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https://recht.nulegal.eu/gesetze/NW_32324/4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