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NW_32324 (Nordrhein-Westfalen) — Art und Umfang der Finanzierung durch den Landschaftsverband Rheinland</w:t>
      </w:r>
    </w:p>
    <w:p>
      <w:r>
        <w:rPr>
          <w:color w:val="555555"/>
          <w:sz w:val="18"/>
        </w:rPr>
        <w:t xml:space="preserve">Satzung des Landschaftsverbandes Rheinland über die inklusive Bauprojektförderung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Finanzierung durch den Landschaftsverband Rheinland erfolgt in der Form eines Zuschusses.</w:t>
      </w:r>
    </w:p>
    <w:p>
      <w:r>
        <w:t xml:space="preserve">(2) Für die Finanzierung stehen pro Jahr insgesamt zwei Millionen € zur Verfügung.</w:t>
      </w:r>
    </w:p>
    <w:p>
      <w:r>
        <w:t xml:space="preserve">(3) Gefördert werden maximal 10% der anerkennungsfähigen Baukosten, maximal 200.000 € je Projekt. Das Nähere regeln die Förder-Richtlinien nach § 4 Absatz 5 dieser Satzung. Kosten für das Grundstück (insbesondere Erwerb und Erschließung) sind ausgenommen.</w:t>
      </w:r>
    </w:p>
    <w:p>
      <w:r>
        <w:t xml:space="preserve">(4) Die Zweckbindung beträgt 20 Jahre ab Fertigstellung des Bauvorhabens.</w:t>
      </w:r>
    </w:p>
    <w:p>
      <w:r>
        <w:t xml:space="preserve">(5) Der Zuschuss des Landschaftsverbandes Rheinland ist für den Fall einer nicht zweckentsprechenden Verwendung der Mittel dinglich zu sichern, in der Regel durch Bestellung einer entsprechenden Grundschuld.</w:t>
      </w:r>
    </w:p>
    <w:p>
      <w:r>
        <w:rPr>
          <w:color w:val="555555"/>
          <w:sz w:val="17"/>
        </w:rPr>
        <w:t xml:space="preserve">Zitiervorschlag: § 3 NW_32324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