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NW_32324 (Nordrhein-Westfalen) — Antragssteller</w:t>
      </w:r>
    </w:p>
    <w:p>
      <w:r>
        <w:rPr>
          <w:color w:val="555555"/>
          <w:sz w:val="18"/>
        </w:rPr>
        <w:t xml:space="preserve">Satzung des Landschaftsverbandes Rheinland über die inklusive Bauprojektförderung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Antragsberechtigt ist jede natürliche und juristische Person.</w:t>
      </w:r>
    </w:p>
    <w:p>
      <w:r>
        <w:rPr>
          <w:color w:val="555555"/>
          <w:sz w:val="17"/>
        </w:rPr>
        <w:t xml:space="preserve">Zitiervorschlag: § 1 NW_32324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https://recht.nulegal.eu/gesetze/NW_32324/1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