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NW_32309 (Nordrhein-Westfalen) — Voraussetzungen</w:t>
      </w:r>
    </w:p>
    <w:p>
      <w:r>
        <w:rPr>
          <w:color w:val="555555"/>
          <w:sz w:val="18"/>
        </w:rPr>
        <w:t xml:space="preserve">VObFw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Leistungsfähigkeit einer Betriebsfeuerwehr muss den Anforderungen an eine öffentliche Feuerwehr entsprechen. Die Fähigkeit zur Einleitung von Maßnahmen zur effektiven Bekämpfung der Auswirkungen von Brand- oder Explosionsgefahren im Ereignisfall oder eines Schadensereignisses mit einer Gefährdung einer großen Anzahl von Personen wird vorausgesetzt. Hierzu sind die Qualitäts- und Qualifikationsanforderungen der §§ 11 bis 22 zu erfüllen.</w:t>
      </w:r>
    </w:p>
    <w:p>
      <w:r>
        <w:rPr>
          <w:color w:val="555555"/>
          <w:sz w:val="17"/>
        </w:rPr>
        <w:t xml:space="preserve">Zitiervorschlag: § 9 NW_32309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https://recht.nulegal.eu/gesetze/NW_32309/9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