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NW_32309 (Nordrhein-Westfalen) — Überprüfungsbehörden</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Gemeinde überprüft hinsichtlich der Betriebsfeuerwehr und die Bezirksregierung hinsichtlich der Werkfeuerwehr den Vollzug des Gesetzes über den Brandschutz, die Hilfeleistung und den Katastrophenschutz sowie insbesondere die Einhaltung der im Anerkennungs- oder Anordnungsbescheid getroffenen Regelungen.</w:t>
      </w:r>
    </w:p>
    <w:p>
      <w:r>
        <w:t xml:space="preserve">Teil 2</w:t>
      </w:r>
    </w:p>
    <w:p>
      <w:r>
        <w:t xml:space="preserve">Anordnung und Anerkennung von Werkfeuerwehren</w:t>
      </w:r>
    </w:p>
    <w:p>
      <w:r>
        <w:rPr>
          <w:color w:val="555555"/>
          <w:sz w:val="17"/>
        </w:rPr>
        <w:t xml:space="preserve">Zitiervorschlag: § 4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