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NW_32309 (Nordrhein-Westfalen) — Melde-, Anzeige- und Informationsverpflichtungen</w:t>
      </w:r>
    </w:p>
    <w:p>
      <w:r>
        <w:rPr>
          <w:color w:val="555555"/>
          <w:sz w:val="18"/>
        </w:rPr>
        <w:t xml:space="preserve">VObFw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Melde-, Anzeige- und Informationsverpflichtungen für die gemeinsame Werkfeuerwehr richten sich nach Teil 7.</w:t>
      </w:r>
    </w:p>
    <w:p>
      <w:r>
        <w:t xml:space="preserve">Teil 9</w:t>
      </w:r>
    </w:p>
    <w:p>
      <w:r>
        <w:t xml:space="preserve">Ermächtigung zur Durchführung der Brandverhütungsschau</w:t>
      </w:r>
    </w:p>
    <w:p>
      <w:r>
        <w:rPr>
          <w:color w:val="555555"/>
          <w:sz w:val="17"/>
        </w:rPr>
        <w:t xml:space="preserve">Zitiervorschlag: § 36 NW_32309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https://recht.nulegal.eu/gesetze/NW_32309/36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