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NW_32309 (Nordrhein-Westfalen) — Anzeige- und Informationsverpflichtungen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Anzeigepflichten des Betriebs oder der Einrichtung bestehen</w:t>
      </w:r>
    </w:p>
    <w:p>
      <w:r>
        <w:t xml:space="preserve">1. bei Unternehmensumbildungen, die einen Adressatenwechsel hinsichtlich der Anerkennungs-oder Anordnungsbescheide der betrieblichen Feuerwehr zur Folge haben, gegenüber der Überprüfungsbehörde,</w:t>
      </w:r>
    </w:p>
    <w:p>
      <w:r>
        <w:t xml:space="preserve">2. bei Veränderungen des Werksgeländes nach § 7 Absatz 2 gegenüber der Bezirksregierung,</w:t>
      </w:r>
    </w:p>
    <w:p>
      <w:r>
        <w:t xml:space="preserve">3. wenn eine gemeinsame Werkfeuerwehr nach § 33 Absatz 1 gebildet werden soll gegenüber der Bezirksregierung,</w:t>
      </w:r>
    </w:p>
    <w:p>
      <w:r>
        <w:t xml:space="preserve">4. bei Veränderungen des zur Brandverhütungsschau ermächtigten Personals gemäß § 38 Absatz 2 gegenüber der Bezirksregierung und</w:t>
      </w:r>
    </w:p>
    <w:p>
      <w:r>
        <w:t xml:space="preserve">5. bei Veränderungen der Objektbestände gemäß § 38 Absatz 4 in Verbindung mit § 39 Absatz 2 gegenüber der Bezirksregierung und der Gemeinde.</w:t>
      </w:r>
    </w:p>
    <w:p>
      <w:r>
        <w:t xml:space="preserve">(2) Bei der endgültigen Nichterfüllung der Sollstärke nach § 19 ist die Überprüfungsbehörde unverzüglich zu informieren.</w:t>
      </w:r>
    </w:p>
    <w:p>
      <w:r>
        <w:rPr>
          <w:color w:val="555555"/>
          <w:sz w:val="17"/>
        </w:rPr>
        <w:t xml:space="preserve">Zitiervorschlag: § 30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