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NW_32309 (Nordrhein-Westfalen) — Überprüfungsverfahren bei Betriebsfeuerwehren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kann die Leistungsfähigkeit der Betriebsfeuerwehr überprüfen und orientiert sich dabei am fünfjährigen Überprüfungsturnus für Werkfeuerwehren. Die §§ 23 bis 25 sind für dieses Überprüfungsverfahren entsprechend anwendbar.</w:t>
      </w:r>
    </w:p>
    <w:p>
      <w:r>
        <w:t xml:space="preserve">Teil 6</w:t>
      </w:r>
    </w:p>
    <w:p>
      <w:r>
        <w:t xml:space="preserve">Zusammenarbeit von Werkfeuerwehren mit der öffentlichen Feuerwehr</w:t>
      </w:r>
    </w:p>
    <w:p>
      <w:r>
        <w:rPr>
          <w:color w:val="555555"/>
          <w:sz w:val="17"/>
        </w:rPr>
        <w:t xml:space="preserve">Zitiervorschlag: § 26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