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NW_32309 (Nordrhein-Westfalen) — Verfahrensabschluss und Rechtsfolgen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Abschluss des Überprüfungsverfahrens stellt die Bezirksregierung fest, ob und welche Maßnahmen zur Mängelbeseitigung geeignet erscheinen oder ob ein Änderungsbescheid zum Anordnungs- oder Anerkennungsbescheid, der der Überprüfung zu Grunde lag, erstellt wird.</w:t>
      </w:r>
    </w:p>
    <w:p>
      <w:r>
        <w:t xml:space="preserve">(2) Zur Beseitigung der durch die Bezirksregierung festgestellten Mängel wird eine angemessene Frist gesetzt. Die Beseitigung ist der Bezirksregierung innerhalb der Frist vom Betrieb oder der Einrichtung nachzuweisen.</w:t>
      </w:r>
    </w:p>
    <w:p>
      <w:r>
        <w:t xml:space="preserve">(3) Ist die angeordnete Werkfeuerwehr Voraussetzung für die Erlaubnis zum Betrieb einer Anlage, ist das Fortbestehen der Erlaubnis abhängig von der Leistungsfähigkeit der Werkfeuerwehr.</w:t>
      </w:r>
    </w:p>
    <w:p>
      <w:r>
        <w:rPr>
          <w:color w:val="555555"/>
          <w:sz w:val="17"/>
        </w:rPr>
        <w:t xml:space="preserve">Zitiervorschlag: § 25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