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NW_32309 (Nordrhein-Westfalen) — Verfahrensablauf bei Werkfeuerwehren</w:t>
      </w:r>
    </w:p>
    <w:p>
      <w:r>
        <w:rPr>
          <w:color w:val="555555"/>
          <w:sz w:val="18"/>
        </w:rPr>
        <w:t xml:space="preserve">VObFw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Überprüfung der anerkannten oder angeordneten Werkfeuerwehr wird dem Betrieb oder der Einrichtung schriftlich angekündigt.</w:t>
      </w:r>
    </w:p>
    <w:p>
      <w:r>
        <w:t xml:space="preserve">(2) Rechtzeitig vor der Überprüfung ist der aktuelle Bedarfs- und Entwicklungsplan der Bezirksregierung zur Auswertung zur Verfügung zu stellen.</w:t>
      </w:r>
    </w:p>
    <w:p>
      <w:r>
        <w:rPr>
          <w:color w:val="555555"/>
          <w:sz w:val="17"/>
        </w:rPr>
        <w:t xml:space="preserve">Zitiervorschlag: § 23 NW_32309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https://recht.nulegal.eu/gesetze/NW_32309/23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