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NW_32309 (Nordrhein-Westfalen) — Hilfsfrist bei betrieblichen Feuerwehren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Zeitdifferenz zwischen der Alarmierung und dem Eintreffen der zur Durchführung der Erstmaßnahmen erforderlichen Einsatzkräfte und Einsatzmittel an der Einsatzstelle ist im Anordnungs- beziehungsweise Anerkennungsbescheid der Überprüfungsbehörde festzulegen.</w:t>
      </w:r>
    </w:p>
    <w:p>
      <w:r>
        <w:t xml:space="preserve">(2) Die Hilfsfrist nach Absatz 1 soll insbesondere bei Werkfeuerwehren mit hauptberuflichen Kräften maximal fünf Minuten betragen.</w:t>
      </w:r>
    </w:p>
    <w:p>
      <w:r>
        <w:t xml:space="preserve">Teil 5</w:t>
      </w:r>
    </w:p>
    <w:p>
      <w:r>
        <w:t xml:space="preserve">Überprüfungsverfahren</w:t>
      </w:r>
    </w:p>
    <w:p>
      <w:r>
        <w:rPr>
          <w:color w:val="555555"/>
          <w:sz w:val="17"/>
        </w:rPr>
        <w:t xml:space="preserve">Zitiervorschlag: § 22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