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NW_32309 (Nordrhein-Westfalen) — Sollstärke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Sollstärke wird im Anordnungs- oder Anerkennungsbescheid durch die Anzahl der geforderten Funktionen der Angehörigen der betrieblichen Feuerwehr festgelegt.</w:t>
      </w:r>
    </w:p>
    <w:p>
      <w:r>
        <w:t xml:space="preserve">(2) Eine Betriebsfeuerwehr hat die Mindestsollstärke der taktischen Einheit einer Staffel (1/5/6). Die ausschließlich nebenberufliche Besetzung der Sollstärke ist zulässig.</w:t>
      </w:r>
    </w:p>
    <w:p>
      <w:r>
        <w:t xml:space="preserve">(3) Eine anerkannte Werkfeuerwehr hat die Mindestsollstärke der taktischen Einheit einer Gruppe (1/8/9).</w:t>
      </w:r>
    </w:p>
    <w:p>
      <w:r>
        <w:t xml:space="preserve">(4) Eine angeordnete Werkfeuerwehr hat die Mindestsollstärke der taktischen Einheit einer Gruppe (1/8/9), wobei in der Regel mindestens die taktische Einheit einer Staffel (1/5/6) hauptberuflich tätig ist.</w:t>
      </w:r>
    </w:p>
    <w:p>
      <w:r>
        <w:rPr>
          <w:color w:val="555555"/>
          <w:sz w:val="17"/>
        </w:rPr>
        <w:t xml:space="preserve">Zitiervorschlag: § 19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