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NW_32309 (Nordrhein-Westfalen) — Haupt- und nebenberufliche Kräfte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Betriebsfeuerwehr kann ausschließlich aus nebenberuflichen Einsatzkräften bestehen.</w:t>
      </w:r>
    </w:p>
    <w:p>
      <w:r>
        <w:t xml:space="preserve">(2) Eine anerkannte Werkfeuerwehr kann ausschließlich aus hauptberuflichen Einsatzkräften bestehen.</w:t>
      </w:r>
    </w:p>
    <w:p>
      <w:r>
        <w:t xml:space="preserve">(3) Eine angeordnete Werkfeuerwehr besteht mindestens in der im Anordnungsbescheid festgelegten Sollstärke aus hauptberuflichen Einsatzkräften.</w:t>
      </w:r>
    </w:p>
    <w:p>
      <w:r>
        <w:rPr>
          <w:color w:val="555555"/>
          <w:sz w:val="17"/>
        </w:rPr>
        <w:t xml:space="preserve">Zitiervorschlag: § 18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