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17 NW_32309 (Nordrhein-Westfalen) — Fortbildungsverpflichtung</w:t>
      </w:r>
    </w:p>
    <w:p>
      <w:r>
        <w:rPr>
          <w:color w:val="555555"/>
          <w:sz w:val="18"/>
        </w:rPr>
        <w:t xml:space="preserve">VObFw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Angehörige einer betrieblichen Feuerwehr sind verpflichtet, aktiv Kenntnisse und Fähigkeiten zu erhalten und fortzuentwickeln. Dazu haben sich die Angehörigen der betrieblichen Feuerwehr gemäß § 32 Absatz 5 des Gesetzes über den Brandschutz, die Hilfeleistung und den Katastrophenschutz jährlich fachlich fortzubilden.</w:t>
      </w:r>
    </w:p>
    <w:p>
      <w:r>
        <w:rPr>
          <w:color w:val="555555"/>
          <w:sz w:val="17"/>
        </w:rPr>
        <w:t xml:space="preserve">Zitiervorschlag: § 17 NW_32309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https://recht.nulegal.eu/gesetze/NW_32309/17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