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NW_32303 (Nordrhein-Westfalen) — Einschränkung des Anwendungsbereichs</w:t>
      </w:r>
    </w:p>
    <w:p>
      <w:r>
        <w:rPr>
          <w:color w:val="555555"/>
          <w:sz w:val="18"/>
        </w:rPr>
        <w:t xml:space="preserve">Feuerungsverordnung (FeuVO NRW) [1]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Feuerstätten, Wärmepumpen und Blockheizkraftwerke gilt die Verordnung nur, soweit diese Anlagen der Beheizung von Räumen oder der Warmwasserversorgung dienen oder Gas-Haushalts-Kochgeräte sind. Die Verordnung gilt nicht für Brennstoffzellen und ihre Anlagen zur Abführung der Prozessgase.</w:t>
      </w:r>
    </w:p>
    <w:p>
      <w:r>
        <w:rPr>
          <w:color w:val="555555"/>
          <w:sz w:val="17"/>
        </w:rPr>
        <w:t xml:space="preserve">Zitiervorschlag: § 1 NW_32303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https://recht.nulegal.eu/gesetze/NW_32303/1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