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NW_32201 (Nordrhein-Westfalen)</w:t>
      </w:r>
    </w:p>
    <w:p>
      <w:r>
        <w:rPr>
          <w:color w:val="555555"/>
          <w:sz w:val="18"/>
        </w:rPr>
        <w:t xml:space="preserve">AG-SGB IX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Ausführungsgesetz zum Neunten Buch Sozialgesetzbuch</w:t>
      </w:r>
    </w:p>
    <w:p>
      <w:r>
        <w:t xml:space="preserve">für das Land Nordrhein-Westfalen (AG-SGB IX NRW)</w:t>
      </w:r>
    </w:p>
    <w:p>
      <w:r>
        <w:t xml:space="preserve">Vom 21. Juli 2018</w:t>
      </w:r>
    </w:p>
    <w:p>
      <w:r>
        <w:t xml:space="preserve">(Artikel 1 des Gesetzes vom 21. Juli 2018 (GV. NRW. S. 414))</w:t>
      </w:r>
    </w:p>
    <w:p>
      <w:r>
        <w:rPr>
          <w:color w:val="555555"/>
          <w:sz w:val="17"/>
        </w:rPr>
        <w:t xml:space="preserve">Zitiervorschlag: Volltext NW_32201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https://recht.nulegal.eu/gesetze/NW_32201/volltext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