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NW_32201 (Nordrhein-Westfalen) — Besondere Regelungen zur Leistungserbringung</w:t>
      </w:r>
    </w:p>
    <w:p>
      <w:r>
        <w:rPr>
          <w:color w:val="555555"/>
          <w:sz w:val="18"/>
        </w:rPr>
        <w:t xml:space="preserve">AG-SGB IX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Solange zwischen einem Landschaftsverband und einer kreisfreien Stadt oder einem Kreis streitig ist, wer sachlich zuständig ist, ist die kreisfreie Stadt oder der Kreis verpflichtet, die erforderliche Hilfe zu erbringen.</w:t>
      </w:r>
    </w:p>
    <w:p>
      <w:r>
        <w:t xml:space="preserve">(2) Kann ein Landschaftsverband nicht rechtzeitig tätig werden, hat die kreisfreie Stadt oder der Kreis die notwendigen Maßnahmen zu treffen. Dies gilt insbesondere bei Übergängen aufgrund eines Zuständigkeitswechsels.</w:t>
      </w:r>
    </w:p>
    <w:p>
      <w:r>
        <w:t xml:space="preserve">(3) Kann ein Kreis als zuständiger Träger der Eingliederungshilfe nicht rechtzeitig tätig werden, hat die kreisangehörige Gemeinde, auch in den Fällen des Absatzes 2, die notwendigen Maßnahmen zu treffen.</w:t>
      </w:r>
    </w:p>
    <w:p>
      <w:r>
        <w:t xml:space="preserve">(4) § 91 Absatz 1 und 3 sowie §§ 111 und 113 des Zehnten Buches Sozialgesetzbuch gelten entsprechend.</w:t>
      </w:r>
    </w:p>
    <w:p>
      <w:r>
        <w:rPr>
          <w:color w:val="555555"/>
          <w:sz w:val="17"/>
        </w:rPr>
        <w:t xml:space="preserve">Zitiervorschlag: § 3 NW_32201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https://recht.nulegal.eu/gesetze/NW_32201/3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