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NW_32201 (Nordrhein-Westfalen) — Finanzzuweisung und Verwaltungskosten</w:t>
      </w:r>
    </w:p>
    <w:p>
      <w:r>
        <w:rPr>
          <w:color w:val="555555"/>
          <w:sz w:val="18"/>
        </w:rPr>
        <w:t xml:space="preserve">AG-SGB IX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örtlichen Träger erhalten zur Durchführung der ihnen nach § 185 Absatz 1 Nummer 3 des Neunten Buches Sozialgesetzbuch obliegenden Aufgaben einen Prozentsatz des Aufkommens an der Ausgleichsabgabe nach § 160 des Neunten Buches Sozialgesetzbuch. Die Höhe des Prozentsatzes bestimmen die überörtlichen Träger für jeweils ein Haushaltsjahr durch Satzung. Hierbei ist sicherzustellen, dass jedem örtlichen Träger, gemessen an der Zahl der zu betreuenden schwerbehinderten Menschen in seinem Bereich, annähernd gleiche Mittel aus dem Aufkommen an der Ausgleichsabgabe zur Verfügung stehen.</w:t>
      </w:r>
    </w:p>
    <w:p>
      <w:r>
        <w:t xml:space="preserve">(2) Werden nach § 2 Absatz 1 Nummer 2 der Verordnung zur Regelung von Zuständigkeiten nach dem Sozialgesetzbuch IX vom 31. Januar 1989 (GV. NRW. S. 78), die zuletzt durch Artikel 7 des Gesetzes vom [einsetzen: Ausfertigungsdatum und Fundstelle dieses Gesetzes] geändert worden ist, kreisfreie Städte, große kreisangehörige Städte und Kreise zu Aufgaben der begleitenden Hilfe im Arbeitsleben herangezogen, haben die Landschaftsverbände die aufgewendeten Kosten mit Ausnahme der persönlichen und sächlichen Verwaltungskosten zu erstatten.</w:t>
      </w:r>
    </w:p>
    <w:p>
      <w:r>
        <w:rPr>
          <w:color w:val="555555"/>
          <w:sz w:val="17"/>
        </w:rPr>
        <w:t xml:space="preserve">Zitiervorschlag: § 10 NW_32201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https://recht.nulegal.eu/gesetze/NW_32201/10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