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14 NW_32163 (Nordrhein-Westfalen) — Marktwert</w:t>
      </w:r>
    </w:p>
    <w:p>
      <w:r>
        <w:rPr>
          <w:color w:val="555555"/>
          <w:sz w:val="18"/>
        </w:rPr>
        <w:t xml:space="preserve">FFVO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(1) Der Marktwert für Steinsalz berechnet sich nach dem gewogenen Mittel der Preise in Euro pro Tonne, die im Erhebungszeitraum im Geltungsbereich des Bundesberggesetzes für frei gehandeltes Industriesalz erzielt worden sind.</w:t>
      </w:r>
    </w:p>
    <w:p>
      <w:r>
        <w:t xml:space="preserve">(2) Der Marktwert für Sole wird nach ihrem Steinsalzgehalt ermittelt. Absatz 1 gilt entsprechend.</w:t>
      </w:r>
    </w:p>
    <w:p>
      <w:r>
        <w:t xml:space="preserve">Teil 3</w:t>
      </w:r>
    </w:p>
    <w:p>
      <w:r>
        <w:t xml:space="preserve">Ordnungswidrigkeiten; Inkrafttreten, Außerkrafttreten</w:t>
      </w:r>
    </w:p>
    <w:p>
      <w:r>
        <w:rPr>
          <w:color w:val="555555"/>
          <w:sz w:val="17"/>
        </w:rPr>
        <w:t xml:space="preserve">Zitiervorschlag: § 14 NW_32163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https://recht.nulegal.eu/gesetze/NW_32163/14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